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108" w:type="dxa"/>
        <w:tblLayout w:type="fixed"/>
        <w:tblLook w:val="0000"/>
      </w:tblPr>
      <w:tblGrid>
        <w:gridCol w:w="4397"/>
        <w:gridCol w:w="4063"/>
      </w:tblGrid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9A5843" w:rsidRDefault="00806968" w:rsidP="005E6FB7">
            <w:pPr>
              <w:autoSpaceDE w:val="0"/>
              <w:ind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A58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CONTENIDO FUNCIONAL DEL EMPLEO 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autoSpaceDE w:val="0"/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I. IDENTIFICACIÓN</w:t>
            </w:r>
          </w:p>
        </w:tc>
      </w:tr>
      <w:tr w:rsidR="00806968" w:rsidRPr="00576C13" w:rsidTr="005E6FB7">
        <w:trPr>
          <w:trHeight w:val="228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Nivel: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DIRECTIVO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Denominación del Empleo: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SUBDIRECTOR DE GESTIÓN AMBIENTAL </w:t>
            </w:r>
          </w:p>
        </w:tc>
      </w:tr>
      <w:tr w:rsidR="00806968" w:rsidRPr="00576C13" w:rsidTr="005E6FB7">
        <w:trPr>
          <w:trHeight w:val="273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Código: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0040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Grado: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No. de cargos: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UNO (1)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Dependencia: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SUBDIRECCIÓN DE GESTIÓN AMBIENTAL 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Cargo del jefe Inmediato: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06968" w:rsidRPr="00576C13" w:rsidRDefault="00806968" w:rsidP="005E6FB7">
            <w:pPr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DIRECTOR GENERAL</w:t>
            </w:r>
          </w:p>
        </w:tc>
      </w:tr>
      <w:tr w:rsidR="00806968" w:rsidRPr="00576C13" w:rsidTr="005E6FB7">
        <w:trPr>
          <w:trHeight w:val="65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ind w:right="27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II.AREA FUNCIONAL – </w:t>
            </w:r>
            <w:r w:rsidRPr="00576C13">
              <w:rPr>
                <w:rFonts w:ascii="Arial" w:hAnsi="Arial" w:cs="Arial"/>
                <w:b/>
                <w:sz w:val="18"/>
                <w:szCs w:val="18"/>
              </w:rPr>
              <w:t xml:space="preserve">SUBDIRECCIÓN DE GESTIÓN AMBIENTAL 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III. PROPÓSITO PRINCIPAL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el proceso de ejecución de planes, programas, proyectos y actividades de la Corporación contemplados en el PAI y POAI, y administrar las áreas de educación, participación y cultura ambiental, desarrollo sostenible, seguimiento ambiental y licencias y permisos ambientales, para el cuidado del ambiente, los recursos naturales renovables y propender por el desarrollo sostenible en el área de jurisdicción de la CVS y además realizar el debido control de uso, aprovechamiento, afectación, protección y vigilancia de los recursos naturales renovables y el ambiente.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IV. DESCRIPCIÓN DE FUNCIONES ESENCIALES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Asesorar al Director General de la Corporación en la identificación, formulación y establecimiento de los criterios técnicos que deban aplicarse en la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interventoría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, estudios, diseños, consultorías y obras que deba realizar la CVS.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el establecimiento de los criterios técnicos que deban aplicarse en la formulación y ejecución de proyectos de conservación de flora y fauna, educación ambiental, producción y consumo sostenible y de usos forestales en el área de jurisdicción de la CVS.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Promover y orientar la organización y desarrollo de los procesos de participación ciudadana en actividades y programas de protección y recuperación ambiental, desarrollo sustentable y manejo adecuado de los recursos naturales renovables.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Coordinar la asesoría y prestación de asistencia técnica requerida por los entes territoriales del área de jurisdicción de la CVS, en materia de educación ambiental y en el cumplimiento de las competencias que la ley le ha otorgado para la conservación, mantenimiento y recuperación del medio ambiente y de los recursos naturales. 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los procesos de educación ambiental tendientes a crear cultura ambiental y propender por el desarrollo sostenible.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Coordinar con la Secretaría General el desarrollo de los estudios técnicos que sirvan de fundamento para los actos de reglamentación que deba expedir la Corporación para el manejo y aprovechamiento de los recursos naturales y el ambiente.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el proceso de uso sostenido del recurso forestal en el departamento de Córdoba, a través de la aplicación de los planes de ordenamiento forestal, el otorgamiento de permisos de aprovechamiento forestal (luego de la emisión de concepto técnico favorable) y los proyectos de reforestación de la entidad.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Monitorear los procesos erosivos en las cuencas de los ríos del área de jurisdicción de la CVS, así como formular proyectos, programas y actividades para intervenir en aquellas que sean consideradas críticas y prioritarias y siempre y cuando la Corporación tenga recursos para su ejecución.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Asesorar a los entes territoriales acerca de las obras y acciones que deben ejecutarse para monitorear los procesos erosivos en las cuencas de los ríos del área de jurisdicción de la CVS y para que intervengan en aquellas que sean consideradas críticas y prioritarias.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Actuar como miembro del comité evaluador de los procesos contractuales de la entidad, ante la eventualidad que no exista acto administrativo que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 lo estructure.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las actividades de ejecución, asesoría y asistencia técnica de los proyectos de inversión en materia de producción y consumo sostenible, mercados verdes y demás proyectos productivos sostenibles ambientalmente atendiendo a las políticas ambientales y los planes de Gestión y de Acción de la Corporación.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Rendir informes y proyectar las respuestas a los requerimientos de las entidades públicas, de la ciudadanía a través de derechos de petición y los solicitados por sus superiores.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Dirigir el Otorgamiento de los correspondientes permisos, concesiones, autorizaciones y licencias </w:t>
            </w:r>
            <w:r w:rsidRPr="00576C13">
              <w:rPr>
                <w:rFonts w:ascii="Arial" w:hAnsi="Arial" w:cs="Arial"/>
                <w:sz w:val="18"/>
                <w:szCs w:val="18"/>
              </w:rPr>
              <w:lastRenderedPageBreak/>
              <w:t>ambientales, requeridas por la autoridad vigente; para el uso, aprovechamiento y movilización de los recursos naturales renovables.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el proceso de emisión de conceptos técnicos sobre las solicitudes de concesiones, permisos, autorizaciones y licencias ambientales requeridas por la ley para el uso, aprovechamiento o movilización de los recursos naturales renovables o para el desarrollo de actividades que afecten el medio ambiente a través del área de ingeniería y del área forestal.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el seguimiento y control ambiental de los usos del agua, el suelo, el aire y los demás recursos naturales así como de las actividades de exploración, explotación, beneficio, transporte, uso y depósito de los recursos naturales no renovables¸ en articulación con las demás Corporaciones Autónomas Regionales, las oficinas ambientales y otras autoridades de policía, de conformidad con la ley y los reglamentos vigentes.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el desarrollo de las medidas policivas, la imposición y ejecución de medidas, multas y sanciones establecidas por la ley que sean aplicables según el caso cuando ocurriere violación de las normas sobre protección ambiental o sobre manejo de recursos naturales renovables, según el tipo de infracción y la gravedad de la misma, denunciarlas, si fuere el caso y exigir, con sujeción a las regulaciones pertinentes, la reparación de los daños causados.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las acciones de prohibición, restricción o regulación de la fabricación, distribución, uso, disposición o vertimiento de sustancias causantes de degradación ambiental, de acuerdo con la normatividad vigente.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y brindar los lineamientos a las sedes territoriales, para la evaluación, control y seguimiento ambiental de las actividades y usos que generen o puedan generar deterioro ambiental, de acuerdo con la normatividad vigente sobre la materia y el ámbito de su competencia.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Asesorar y dar Asistencia técnica y jurídica en el marco de los trámites y procesos sancionatorios ambientales.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Ejercer las acciones de protección, control y vigilancia de la explotación de los recursos naturales no renovables con énfasis especial en las actividades ilícitas.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Participar en la formulación de los diferentes planes estratégicos (PGAR,PA,POAI) y organizacionales e informe de los mismos y los indicadores de gestión para los procesos de cada dependencia; y responder por su ejecución, su aplicación y el logro de metas e indicadores establecidos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Dirigir y realizar el seguimiento a los planes de saneamiento y manejo de vertimientos que se generen en el territorio de la Jurisdicción de CVS, de acuerdo a las políticas nacionales e internacionales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Dirigir y realizar el seguimiento a los planes </w:t>
            </w: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de Gestión Integral de Residuos Sólidos</w:t>
            </w:r>
            <w:r w:rsidRPr="00576C13">
              <w:rPr>
                <w:rFonts w:ascii="Arial" w:hAnsi="Arial" w:cs="Arial"/>
                <w:sz w:val="18"/>
                <w:szCs w:val="18"/>
              </w:rPr>
              <w:t xml:space="preserve"> que se generen en el territorio de la Jurisdicción de CVS, de acuerdo a las políticas nacionales e internacionales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Conceptuar las tasas y los instrumentos económicos (tasa retributiva y tasa por uso) 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Generar conocimiento para el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alinderamiento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, reserva y declaración de las áreas forestales productoras y protectoras que sean objeto de aprovechamiento, las áreas degradadas que requieren medidas especiales para su recuperación y restauración, los distritos de manejo integrado, los distritos de conservación de suelos, las reservas forestales y parques naturales de carácter regional. 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Realizar el seguimiento al repoblamiento de especies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hidrobiológicas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, la restauración ecológica y agroforestal, apoyando la prevención de incendios forestales. 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Realizar el seguimiento a la formulación y ejecución de los planes de Humedales, Forestal, áreas protegidas, zonas secas, zonas marino costeras, cambio climático, POMCA entre otros del territorio, que corresponda a su competencia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Cumplir las metas desde el punto de vista financiero que sean trazadas por la alta dirección.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Trabajar articuladamente con las demás subdirecciones y oficinas administrativas y asesoras de la entidad, con el fin de formular y llevar a cabo políticas gerenciales en el marco de las directrices impartidas por la Dirección General.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Gestionar recursos ante las entidades territoriales, departamentales, nacionales e internacionales para la ejecución de proyectos ambientales y/o demás gastos de la Corporación.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Emitir de forma oportuna los conceptos técnicos sobre los proyectos cuya competencia de licenciamiento corresponda a la ANLA.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Emitir conceptos técnicos de forma oportuna sobre la vulnerabilidad y gestión del riesgo en predios objeto de restitución de tierras.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Realizar el seguimiento y control ambiental en la zona marino costero de la jurisdicción de la Corporación. 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Gerenciar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, administrar y cumplir las metas y logros de la Corporación, especialmente los que se impongan desde la Dirección General.</w:t>
            </w: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Gerenciar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 xml:space="preserve"> los procesos que correspondan a su dependencia, mantenerlos actualizados de </w:t>
            </w: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>conformidad con la necesidad del servicio.</w:t>
            </w:r>
          </w:p>
          <w:p w:rsidR="00F93A27" w:rsidRPr="00F93A27" w:rsidRDefault="00806968" w:rsidP="00F93A2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  <w:lang w:val="es-ES"/>
              </w:rPr>
              <w:t>Hacer la evaluación del equipo de trabajo y crear estrategias tendientes a aumentar la productividad del área.</w:t>
            </w:r>
          </w:p>
          <w:p w:rsidR="00F93A27" w:rsidRDefault="00F93A27" w:rsidP="00F93A27">
            <w:pPr>
              <w:pStyle w:val="Prrafodelista"/>
              <w:autoSpaceDE w:val="0"/>
              <w:autoSpaceDN w:val="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93A27" w:rsidRPr="00F93A27" w:rsidRDefault="00F93A27" w:rsidP="00F93A27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93A27">
              <w:rPr>
                <w:rFonts w:ascii="Arial" w:hAnsi="Arial" w:cs="Arial"/>
                <w:sz w:val="18"/>
                <w:szCs w:val="18"/>
              </w:rPr>
              <w:t>Expedir y realizar seguimiento y control de los salvoconductos requeridos para la movilización de los productos de la diversidad biológica.</w:t>
            </w:r>
          </w:p>
          <w:p w:rsidR="00F93A27" w:rsidRPr="00576C13" w:rsidRDefault="00F93A27" w:rsidP="00F93A27">
            <w:pPr>
              <w:pStyle w:val="Prrafodelista"/>
              <w:autoSpaceDE w:val="0"/>
              <w:autoSpaceDN w:val="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6968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Las demás funciones que por delegación o desconcentración le sean asignadas y las demás funciones inherentes a la naturaleza de la dependencia y las que le sean asignadas por las disposiciones legales y estatutarias vigentes sobre la materia.</w:t>
            </w:r>
          </w:p>
          <w:p w:rsidR="00F93A27" w:rsidRPr="00576C13" w:rsidRDefault="00F93A27" w:rsidP="00F93A27">
            <w:pPr>
              <w:pStyle w:val="Prrafodelista"/>
              <w:autoSpaceDE w:val="0"/>
              <w:autoSpaceDN w:val="0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6968" w:rsidRPr="00576C13" w:rsidRDefault="00806968" w:rsidP="00806968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Las demás funciones que sean asignadas o delegadas por el Director General, se asignen a la dependencia, y las que encuentren establecidas para su cargo dentro del Sistema de Gestión Corporativo SGC.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sz w:val="18"/>
                <w:szCs w:val="18"/>
              </w:rPr>
              <w:lastRenderedPageBreak/>
              <w:t>V. CONOCIMIENTOS BÁSICOS</w:t>
            </w: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ESENCIALES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Legislación Ambiental.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Código Nacional de Recursos Naturales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Políticas Ambientales del Ministerio de Ambiente y Desarrollo Sostenible o quien haga sus veces en los siguientes temas: Biodiversidad, Zonas Costeras, Humedales, Protocolos Internacionales, Producción más Limpia, Mercados Verdes.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Reglamentación de las Corporaciones Autónomas regionales y de Desarrollo Sostenible. 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Nacional de Desarrollo.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de Gestión Ambiental Regional de la CVS- PGAR.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de Acción.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 Operativo Anual de Inversiones POAI.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Normas presupuestales.</w:t>
            </w:r>
          </w:p>
          <w:p w:rsidR="00806968" w:rsidRPr="00576C13" w:rsidRDefault="00806968" w:rsidP="0080696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Estatuto de Contratación Estatal.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Desarrollo Administrativo.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 de Gestión de Calidad.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Metodología de Proyectos.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Planes de Ordenamiento Territorial y de desarrollo económico, social y de obras públicas de las entidades territoriales del Departamento de Córdoba.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Sistemas de información Geográfica.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Sistemas de Gestión Ambiental.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Norma Técnica de Calidad en la Gestión Pública 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Modelo Estándar de Control Interno para el Estado Colombiano MECI Indicadores de Gestión.</w:t>
            </w:r>
          </w:p>
          <w:p w:rsidR="00806968" w:rsidRPr="00576C13" w:rsidRDefault="00806968" w:rsidP="0080696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 xml:space="preserve">Informática Básica –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word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 xml:space="preserve">, Excel, </w:t>
            </w:r>
            <w:proofErr w:type="spellStart"/>
            <w:r w:rsidRPr="00576C13">
              <w:rPr>
                <w:rFonts w:ascii="Arial" w:hAnsi="Arial" w:cs="Arial"/>
                <w:sz w:val="18"/>
                <w:szCs w:val="18"/>
              </w:rPr>
              <w:t>powerpoint</w:t>
            </w:r>
            <w:proofErr w:type="spellEnd"/>
            <w:r w:rsidRPr="00576C1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VI. COMPETENCIAS COMPORTAMENTALES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COMUNES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POR NIVEL JERÁRQUICO</w:t>
            </w:r>
          </w:p>
        </w:tc>
      </w:tr>
      <w:tr w:rsidR="00806968" w:rsidRPr="00576C13" w:rsidTr="005E6FB7">
        <w:trPr>
          <w:trHeight w:val="1290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Aprendizaje continuo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 resultados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Orientación al usuario y al ciudadano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Compromiso con la organización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Trabajo en equipo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Adaptación al cambio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Visión estratégica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Liderazgo efectivo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Planeación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Toma de decisiones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Gestión de desarrollo de personas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Pensamiento sistémico</w:t>
            </w:r>
          </w:p>
          <w:p w:rsidR="00806968" w:rsidRPr="00576C13" w:rsidRDefault="00806968" w:rsidP="005E6FB7">
            <w:pPr>
              <w:autoSpaceDE w:val="0"/>
              <w:ind w:right="278"/>
              <w:jc w:val="both"/>
            </w:pPr>
            <w:r w:rsidRPr="00576C13">
              <w:rPr>
                <w:rFonts w:ascii="Arial" w:hAnsi="Arial" w:cs="Arial"/>
                <w:sz w:val="18"/>
                <w:szCs w:val="18"/>
              </w:rPr>
              <w:t>Resolución de conflictos</w:t>
            </w:r>
          </w:p>
        </w:tc>
      </w:tr>
      <w:tr w:rsidR="00806968" w:rsidRPr="00576C13" w:rsidTr="005E6FB7">
        <w:trPr>
          <w:trHeight w:val="294"/>
        </w:trPr>
        <w:tc>
          <w:tcPr>
            <w:tcW w:w="8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ind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VII. REQUISITOS DE FORMACIÓN ACADÉMICA Y EXPERIENCIA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FORMACIÓN ACADÉMICA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</w:tcPr>
          <w:p w:rsidR="00806968" w:rsidRPr="00576C13" w:rsidRDefault="00806968" w:rsidP="005E6FB7">
            <w:pPr>
              <w:autoSpaceDE w:val="0"/>
              <w:ind w:left="397" w:right="27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76C13">
              <w:rPr>
                <w:rFonts w:ascii="Arial" w:hAnsi="Arial" w:cs="Arial"/>
                <w:b/>
                <w:bCs/>
                <w:sz w:val="18"/>
                <w:szCs w:val="18"/>
              </w:rPr>
              <w:t>EXPERIENCIA</w:t>
            </w:r>
          </w:p>
        </w:tc>
      </w:tr>
      <w:tr w:rsidR="00806968" w:rsidRPr="00576C13" w:rsidTr="005E6FB7">
        <w:trPr>
          <w:trHeight w:val="294"/>
        </w:trPr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06968" w:rsidRPr="00576C13" w:rsidRDefault="00806968" w:rsidP="005E6F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6C13">
              <w:rPr>
                <w:rFonts w:ascii="Arial" w:hAnsi="Arial" w:cs="Arial"/>
                <w:sz w:val="18"/>
                <w:szCs w:val="18"/>
              </w:rPr>
              <w:t>Título profesional en disciplina académica del núcleo básico de conocimiento en: Administración o Ingeniería Industrial y Afines o Ingeniería Ambiental, Sanitaria y Afines o Biología, Microbiología y Afines o Geografía, Historia o Geología, Otros Programas De Ciencias Naturales o Ingeniería De Minas, Metalurgia y Afines o Ingeniería Civil y Afines o Ingeniería Agrícola, Forestal y Afines o Agronomía o Ingeniería Agronómica, Pecuaria y Afines</w:t>
            </w:r>
          </w:p>
          <w:p w:rsidR="00806968" w:rsidRPr="00576C13" w:rsidRDefault="00806968" w:rsidP="005E6F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06968" w:rsidRDefault="00806968" w:rsidP="005E6FB7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576C13">
              <w:rPr>
                <w:rFonts w:ascii="Arial" w:hAnsi="Arial" w:cs="Arial"/>
                <w:bCs/>
                <w:sz w:val="18"/>
                <w:szCs w:val="18"/>
              </w:rPr>
              <w:t>Título de postgrado en la modalidad de especialización.</w:t>
            </w:r>
          </w:p>
          <w:p w:rsidR="00806968" w:rsidRPr="009A5843" w:rsidRDefault="00806968" w:rsidP="005E6FB7">
            <w:pPr>
              <w:spacing w:line="25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06968" w:rsidRPr="009A5843" w:rsidRDefault="00806968" w:rsidP="005E6FB7">
            <w:pPr>
              <w:autoSpaceDE w:val="0"/>
              <w:autoSpaceDN w:val="0"/>
              <w:adjustRightInd w:val="0"/>
              <w:ind w:right="-3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A5843">
              <w:rPr>
                <w:rFonts w:ascii="Arial" w:hAnsi="Arial" w:cs="Arial"/>
                <w:sz w:val="18"/>
                <w:szCs w:val="18"/>
              </w:rPr>
              <w:t>Tarjeta profesional para aquellas profesiones en las que se requiera.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06968" w:rsidRPr="00047AAA" w:rsidRDefault="00806968" w:rsidP="005E6FB7">
            <w:pPr>
              <w:jc w:val="both"/>
              <w:rPr>
                <w:rFonts w:ascii="Arial" w:hAnsi="Arial" w:cs="Arial"/>
                <w:sz w:val="18"/>
                <w:szCs w:val="18"/>
                <w:lang w:eastAsia="es-CO"/>
              </w:rPr>
            </w:pPr>
            <w:r w:rsidRPr="00047AAA">
              <w:rPr>
                <w:rFonts w:ascii="Arial" w:hAnsi="Arial" w:cs="Arial"/>
                <w:sz w:val="18"/>
                <w:szCs w:val="18"/>
              </w:rPr>
              <w:lastRenderedPageBreak/>
              <w:t xml:space="preserve"> Cuarenta y Ocho (48) </w:t>
            </w:r>
            <w:r w:rsidRPr="00047AAA">
              <w:rPr>
                <w:rFonts w:ascii="Arial" w:hAnsi="Arial" w:cs="Arial"/>
                <w:sz w:val="18"/>
                <w:szCs w:val="18"/>
                <w:lang w:eastAsia="es-CO"/>
              </w:rPr>
              <w:t xml:space="preserve">meses de experiencia profesional relacionada </w:t>
            </w:r>
          </w:p>
          <w:p w:rsidR="00806968" w:rsidRPr="007A56F6" w:rsidRDefault="00806968" w:rsidP="005E6F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E7819" w:rsidRDefault="007E7819"/>
    <w:sectPr w:rsidR="007E7819" w:rsidSect="007E78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B4D18"/>
    <w:multiLevelType w:val="hybridMultilevel"/>
    <w:tmpl w:val="9F608D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1766F4"/>
    <w:multiLevelType w:val="hybridMultilevel"/>
    <w:tmpl w:val="D4C62D1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plc="240A0005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plc="240A000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2">
    <w:nsid w:val="79D7735F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4A43B5"/>
    <w:multiLevelType w:val="multilevel"/>
    <w:tmpl w:val="FB36F4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968"/>
    <w:rsid w:val="007E7819"/>
    <w:rsid w:val="00806968"/>
    <w:rsid w:val="00D93ADD"/>
    <w:rsid w:val="00F93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 Paragraph1,List Paragraph,Segundo nivel de viñetas,Párrafo de lista1"/>
    <w:basedOn w:val="Normal"/>
    <w:link w:val="PrrafodelistaCar"/>
    <w:uiPriority w:val="34"/>
    <w:qFormat/>
    <w:rsid w:val="00806968"/>
    <w:pPr>
      <w:ind w:left="708"/>
    </w:pPr>
  </w:style>
  <w:style w:type="character" w:customStyle="1" w:styleId="PrrafodelistaCar">
    <w:name w:val="Párrafo de lista Car"/>
    <w:aliases w:val="List Paragraph1 Car,List Paragraph Car,Segundo nivel de viñetas Car,Párrafo de lista1 Car"/>
    <w:link w:val="Prrafodelista"/>
    <w:uiPriority w:val="34"/>
    <w:rsid w:val="00806968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1809</Words>
  <Characters>9954</Characters>
  <Application>Microsoft Office Word</Application>
  <DocSecurity>0</DocSecurity>
  <Lines>82</Lines>
  <Paragraphs>23</Paragraphs>
  <ScaleCrop>false</ScaleCrop>
  <Company/>
  <LinksUpToDate>false</LinksUpToDate>
  <CharactersWithSpaces>11740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udo1</dc:creator>
  <cp:lastModifiedBy>udo1</cp:lastModifiedBy>
  <cp:revision>2</cp:revision>
  <dcterms:created xsi:type="dcterms:W3CDTF">2020-01-13T16:04:00Z</dcterms:created>
  <dcterms:modified xsi:type="dcterms:W3CDTF">2020-01-14T22:11:00Z</dcterms:modified>
</cp:coreProperties>
</file>